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BC0" w:rsidRDefault="00516922" w:rsidP="00516922">
      <w:pPr>
        <w:pStyle w:val="Heading1"/>
      </w:pPr>
      <w:bookmarkStart w:id="0" w:name="_GoBack"/>
      <w:bookmarkEnd w:id="0"/>
      <w:r>
        <w:t>HPOG RoundTable: Advanced Find Guidance Document</w:t>
      </w:r>
    </w:p>
    <w:p w:rsidR="00516922" w:rsidRDefault="00516922" w:rsidP="00516922">
      <w:pPr>
        <w:pStyle w:val="Subtitle"/>
      </w:pPr>
      <w:r>
        <w:t xml:space="preserve">This instructional document shows how to prepare three reports for the HPOG RoundTable data sessions. Please contact </w:t>
      </w:r>
      <w:hyperlink r:id="rId6" w:history="1">
        <w:r w:rsidRPr="00292381">
          <w:rPr>
            <w:rStyle w:val="Hyperlink"/>
          </w:rPr>
          <w:t>PAGESSupport@urban.org</w:t>
        </w:r>
      </w:hyperlink>
      <w:r>
        <w:t xml:space="preserve"> if you have questions not answered in this document. The content includes:</w:t>
      </w:r>
    </w:p>
    <w:p w:rsidR="00516922" w:rsidRDefault="00516922" w:rsidP="00516922">
      <w:pPr>
        <w:pStyle w:val="ListParagraph"/>
        <w:numPr>
          <w:ilvl w:val="0"/>
          <w:numId w:val="1"/>
        </w:numPr>
      </w:pPr>
      <w:r>
        <w:t>Accessing Advanced Find and finding the three reports needed for the roundtable</w:t>
      </w:r>
    </w:p>
    <w:p w:rsidR="00516922" w:rsidRDefault="00516922" w:rsidP="00516922">
      <w:pPr>
        <w:pStyle w:val="ListParagraph"/>
        <w:numPr>
          <w:ilvl w:val="0"/>
          <w:numId w:val="1"/>
        </w:numPr>
      </w:pPr>
      <w:r>
        <w:t>Running each report</w:t>
      </w:r>
    </w:p>
    <w:p w:rsidR="00516922" w:rsidRDefault="00516922" w:rsidP="00516922">
      <w:pPr>
        <w:pStyle w:val="ListParagraph"/>
        <w:numPr>
          <w:ilvl w:val="0"/>
          <w:numId w:val="1"/>
        </w:numPr>
      </w:pPr>
      <w:r>
        <w:t>Exporting each report to Excel</w:t>
      </w:r>
    </w:p>
    <w:p w:rsidR="00516922" w:rsidRDefault="00516922" w:rsidP="00516922">
      <w:pPr>
        <w:pStyle w:val="ListParagraph"/>
        <w:numPr>
          <w:ilvl w:val="0"/>
          <w:numId w:val="1"/>
        </w:numPr>
      </w:pPr>
      <w:r>
        <w:t>Opening with Excel and “saving as”</w:t>
      </w:r>
    </w:p>
    <w:p w:rsidR="00516922" w:rsidRDefault="00516922" w:rsidP="00516922">
      <w:pPr>
        <w:rPr>
          <w:b/>
        </w:rPr>
      </w:pPr>
      <w:r>
        <w:rPr>
          <w:b/>
        </w:rPr>
        <w:t>Note: for additional information use the following resources:</w:t>
      </w:r>
    </w:p>
    <w:p w:rsidR="00516922" w:rsidRPr="00516922" w:rsidRDefault="00516922" w:rsidP="00516922">
      <w:pPr>
        <w:pStyle w:val="ListParagraph"/>
        <w:numPr>
          <w:ilvl w:val="0"/>
          <w:numId w:val="2"/>
        </w:numPr>
        <w:rPr>
          <w:b/>
        </w:rPr>
      </w:pPr>
      <w:r w:rsidRPr="00516922">
        <w:rPr>
          <w:b/>
          <w:bCs/>
        </w:rPr>
        <w:t xml:space="preserve">The PAGES User Manual. </w:t>
      </w:r>
      <w:r w:rsidRPr="00516922">
        <w:t>From the PAGES Welcome Page, find “Document Resources” and click on the entry titled “a PAGES User Guide.”</w:t>
      </w:r>
    </w:p>
    <w:p w:rsidR="00516922" w:rsidRPr="00516922" w:rsidRDefault="00516922" w:rsidP="00516922">
      <w:pPr>
        <w:pStyle w:val="ListParagraph"/>
        <w:numPr>
          <w:ilvl w:val="0"/>
          <w:numId w:val="2"/>
        </w:numPr>
        <w:rPr>
          <w:b/>
        </w:rPr>
      </w:pPr>
      <w:r w:rsidRPr="00516922">
        <w:rPr>
          <w:b/>
          <w:bCs/>
        </w:rPr>
        <w:t xml:space="preserve">The PAGES Reporting Webinars. </w:t>
      </w:r>
      <w:r w:rsidRPr="00516922">
        <w:t>Also in “Document Resources” on the Welcome Page, find “Reporting in PAGES Training Slides.” Or click here for a link</w:t>
      </w:r>
      <w:r>
        <w:t xml:space="preserve"> to a recording of the webinar: </w:t>
      </w:r>
      <w:hyperlink r:id="rId7" w:history="1">
        <w:r w:rsidRPr="00516922">
          <w:rPr>
            <w:rStyle w:val="Hyperlink"/>
          </w:rPr>
          <w:t>https</w:t>
        </w:r>
      </w:hyperlink>
      <w:hyperlink r:id="rId8" w:history="1">
        <w:r w:rsidRPr="00516922">
          <w:rPr>
            <w:rStyle w:val="Hyperlink"/>
          </w:rPr>
          <w:t>://attendee.gotowebinar.com/recording/2015708665061126918</w:t>
        </w:r>
      </w:hyperlink>
    </w:p>
    <w:p w:rsidR="00516922" w:rsidRDefault="00516922" w:rsidP="00516922">
      <w:pPr>
        <w:pStyle w:val="Heading2"/>
      </w:pPr>
      <w:r>
        <w:t>Step 1. Log into PAGES and access advanced find.</w:t>
      </w:r>
    </w:p>
    <w:p w:rsidR="00471F07" w:rsidRDefault="00516922" w:rsidP="00516922">
      <w:pPr>
        <w:rPr>
          <w:noProof/>
        </w:rPr>
      </w:pPr>
      <w:r>
        <w:t xml:space="preserve">If you have trouble accessing PAGES, please contact </w:t>
      </w:r>
      <w:hyperlink r:id="rId9" w:history="1">
        <w:r w:rsidRPr="00292381">
          <w:rPr>
            <w:rStyle w:val="Hyperlink"/>
          </w:rPr>
          <w:t>PAGESSupport@urban.org</w:t>
        </w:r>
      </w:hyperlink>
      <w:r>
        <w:t xml:space="preserve"> for assistance. Once in PAGES, access Advanced Find by clicking the following link (found at the top-right corner of any page):</w:t>
      </w:r>
      <w:r w:rsidRPr="00516922">
        <w:rPr>
          <w:noProof/>
        </w:rPr>
        <w:t xml:space="preserve"> </w:t>
      </w:r>
    </w:p>
    <w:p w:rsidR="00516922" w:rsidRDefault="00516922" w:rsidP="00471F07">
      <w:pPr>
        <w:jc w:val="center"/>
        <w:rPr>
          <w:noProof/>
        </w:rPr>
      </w:pPr>
      <w:r w:rsidRPr="00516922">
        <w:rPr>
          <w:noProof/>
        </w:rPr>
        <w:drawing>
          <wp:inline distT="0" distB="0" distL="0" distR="0" wp14:anchorId="120EEB7F" wp14:editId="0235E343">
            <wp:extent cx="3552825" cy="671089"/>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3682305" cy="695546"/>
                    </a:xfrm>
                    <a:prstGeom prst="rect">
                      <a:avLst/>
                    </a:prstGeom>
                  </pic:spPr>
                </pic:pic>
              </a:graphicData>
            </a:graphic>
          </wp:inline>
        </w:drawing>
      </w:r>
    </w:p>
    <w:p w:rsidR="00516922" w:rsidRDefault="00516922" w:rsidP="00516922">
      <w:pPr>
        <w:pStyle w:val="Heading2"/>
      </w:pPr>
      <w:r>
        <w:t>Step 2. Change “Look For” to the appropriate category.</w:t>
      </w:r>
    </w:p>
    <w:p w:rsidR="00516922" w:rsidRPr="00516922" w:rsidRDefault="00516922" w:rsidP="00516922">
      <w:r w:rsidRPr="00516922">
        <w:t>A pop-up will appear with Advanced Find. To find each report, you will need to change the “Look For” field to the correct category.</w:t>
      </w:r>
      <w:r>
        <w:t xml:space="preserve"> </w:t>
      </w:r>
      <w:r w:rsidRPr="00516922">
        <w:t>Change “Look For” by clicking the dropdown and sel</w:t>
      </w:r>
      <w:r>
        <w:t>ecting the appropriate category. The category for each report is listed below.</w:t>
      </w:r>
    </w:p>
    <w:p w:rsidR="00516922" w:rsidRDefault="00516922" w:rsidP="00516922">
      <w:pPr>
        <w:jc w:val="center"/>
      </w:pPr>
      <w:r w:rsidRPr="00516922">
        <w:rPr>
          <w:noProof/>
        </w:rPr>
        <w:drawing>
          <wp:inline distT="0" distB="0" distL="0" distR="0" wp14:anchorId="6EC179B5" wp14:editId="00624F57">
            <wp:extent cx="3552825" cy="175558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3575507" cy="1766791"/>
                    </a:xfrm>
                    <a:prstGeom prst="rect">
                      <a:avLst/>
                    </a:prstGeom>
                  </pic:spPr>
                </pic:pic>
              </a:graphicData>
            </a:graphic>
          </wp:inline>
        </w:drawing>
      </w:r>
    </w:p>
    <w:p w:rsidR="00516922" w:rsidRDefault="00516922" w:rsidP="00516922">
      <w:pPr>
        <w:pStyle w:val="Heading2"/>
      </w:pPr>
      <w:r>
        <w:lastRenderedPageBreak/>
        <w:t>Step 3. Click on “Use Saved View” and find the pre-shared report.</w:t>
      </w:r>
    </w:p>
    <w:p w:rsidR="00471F07" w:rsidRDefault="00516922" w:rsidP="00471F07">
      <w:pPr>
        <w:rPr>
          <w:noProof/>
        </w:rPr>
      </w:pPr>
      <w:r w:rsidRPr="00516922">
        <w:t xml:space="preserve">Click on the </w:t>
      </w:r>
      <w:r>
        <w:t>“Use Saved View” dropdown at top-right of Advanced Find</w:t>
      </w:r>
      <w:r w:rsidRPr="00516922">
        <w:t xml:space="preserve"> and then scroll down to “My Views” where you will find the RoundTable view:</w:t>
      </w:r>
      <w:r w:rsidRPr="00516922">
        <w:rPr>
          <w:noProof/>
        </w:rPr>
        <w:t xml:space="preserve"> </w:t>
      </w:r>
    </w:p>
    <w:p w:rsidR="00516922" w:rsidRDefault="00516922" w:rsidP="00516922">
      <w:pPr>
        <w:jc w:val="center"/>
        <w:rPr>
          <w:noProof/>
        </w:rPr>
      </w:pPr>
      <w:r w:rsidRPr="00516922">
        <w:rPr>
          <w:noProof/>
        </w:rPr>
        <w:drawing>
          <wp:inline distT="0" distB="0" distL="0" distR="0" wp14:anchorId="658B3296" wp14:editId="1D1DDF24">
            <wp:extent cx="4457700" cy="235077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4472340" cy="2358490"/>
                    </a:xfrm>
                    <a:prstGeom prst="rect">
                      <a:avLst/>
                    </a:prstGeom>
                  </pic:spPr>
                </pic:pic>
              </a:graphicData>
            </a:graphic>
          </wp:inline>
        </w:drawing>
      </w:r>
    </w:p>
    <w:p w:rsidR="00516922" w:rsidRDefault="00516922" w:rsidP="00516922">
      <w:pPr>
        <w:pStyle w:val="Heading2"/>
      </w:pPr>
      <w:r>
        <w:t>Step 4. Run the report.</w:t>
      </w:r>
    </w:p>
    <w:p w:rsidR="00516922" w:rsidRPr="00516922" w:rsidRDefault="00516922" w:rsidP="00516922">
      <w:r w:rsidRPr="00516922">
        <w:t xml:space="preserve">Once you have selected a report under “Use Saved View,” click on </w:t>
      </w:r>
      <w:r>
        <w:t xml:space="preserve">the </w:t>
      </w:r>
      <w:r w:rsidRPr="00516922">
        <w:t xml:space="preserve">“Results” </w:t>
      </w:r>
      <w:r>
        <w:t xml:space="preserve">icon </w:t>
      </w:r>
      <w:r w:rsidRPr="00516922">
        <w:t xml:space="preserve">to run the report: </w:t>
      </w:r>
    </w:p>
    <w:p w:rsidR="00516922" w:rsidRDefault="00516922" w:rsidP="00516922">
      <w:pPr>
        <w:jc w:val="center"/>
      </w:pPr>
      <w:r w:rsidRPr="00516922">
        <w:rPr>
          <w:noProof/>
        </w:rPr>
        <w:drawing>
          <wp:inline distT="0" distB="0" distL="0" distR="0" wp14:anchorId="0694E591" wp14:editId="1A85ECEB">
            <wp:extent cx="4705350" cy="154884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4730193" cy="1557022"/>
                    </a:xfrm>
                    <a:prstGeom prst="rect">
                      <a:avLst/>
                    </a:prstGeom>
                  </pic:spPr>
                </pic:pic>
              </a:graphicData>
            </a:graphic>
          </wp:inline>
        </w:drawing>
      </w:r>
    </w:p>
    <w:p w:rsidR="00516922" w:rsidRDefault="00516922" w:rsidP="00516922">
      <w:pPr>
        <w:pStyle w:val="Heading2"/>
      </w:pPr>
      <w:r>
        <w:t>Step 5. Extract the report to Microsoft Excel.</w:t>
      </w:r>
    </w:p>
    <w:p w:rsidR="00516922" w:rsidRDefault="00516922" w:rsidP="00516922">
      <w:r w:rsidRPr="00516922">
        <w:t>When the results pop up, click on the “Export” tool at the top of the screen (with the Excel icon). It will have the “Look For” category listed (i.e. Export Cases, Export Employment History, Export Service Details, depending on the report you are running). Select “Static Worksheet”:</w:t>
      </w:r>
    </w:p>
    <w:p w:rsidR="00516922" w:rsidRDefault="00516922" w:rsidP="00516922">
      <w:pPr>
        <w:jc w:val="center"/>
      </w:pPr>
      <w:r w:rsidRPr="00516922">
        <w:rPr>
          <w:noProof/>
        </w:rPr>
        <w:drawing>
          <wp:inline distT="0" distB="0" distL="0" distR="0" wp14:anchorId="47F90810" wp14:editId="37B737B0">
            <wp:extent cx="4505325" cy="1476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stretch>
                      <a:fillRect/>
                    </a:stretch>
                  </pic:blipFill>
                  <pic:spPr>
                    <a:xfrm>
                      <a:off x="0" y="0"/>
                      <a:ext cx="4536990" cy="1486641"/>
                    </a:xfrm>
                    <a:prstGeom prst="rect">
                      <a:avLst/>
                    </a:prstGeom>
                  </pic:spPr>
                </pic:pic>
              </a:graphicData>
            </a:graphic>
          </wp:inline>
        </w:drawing>
      </w:r>
    </w:p>
    <w:p w:rsidR="00516922" w:rsidRDefault="00471F07" w:rsidP="00516922">
      <w:pPr>
        <w:pStyle w:val="Heading2"/>
      </w:pPr>
      <w:r>
        <w:lastRenderedPageBreak/>
        <w:t>Step 6. Open in Excel.</w:t>
      </w:r>
    </w:p>
    <w:p w:rsidR="00471F07" w:rsidRDefault="00516922" w:rsidP="00516922">
      <w:pPr>
        <w:rPr>
          <w:noProof/>
        </w:rPr>
      </w:pPr>
      <w:r w:rsidRPr="00516922">
        <w:t>After click</w:t>
      </w:r>
      <w:r>
        <w:t>ing</w:t>
      </w:r>
      <w:r w:rsidRPr="00516922">
        <w:t xml:space="preserve"> “Static Worksheet,” the system will generate an Excel file for download from your browser. This will take approx. 10-20 seconds. It will show up on your browser’s download menu (usually at the bottom or top of the screen). Click “Open.”</w:t>
      </w:r>
      <w:r w:rsidR="00471F07" w:rsidRPr="00471F07">
        <w:rPr>
          <w:noProof/>
        </w:rPr>
        <w:t xml:space="preserve"> </w:t>
      </w:r>
    </w:p>
    <w:p w:rsidR="00471F07" w:rsidRDefault="00471F07" w:rsidP="00471F07">
      <w:pPr>
        <w:jc w:val="center"/>
      </w:pPr>
      <w:r w:rsidRPr="00471F07">
        <w:rPr>
          <w:noProof/>
        </w:rPr>
        <w:drawing>
          <wp:inline distT="0" distB="0" distL="0" distR="0" wp14:anchorId="59CD705A" wp14:editId="1AC123F4">
            <wp:extent cx="4886325" cy="139385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5"/>
                    <a:stretch>
                      <a:fillRect/>
                    </a:stretch>
                  </pic:blipFill>
                  <pic:spPr>
                    <a:xfrm>
                      <a:off x="0" y="0"/>
                      <a:ext cx="4912148" cy="1401221"/>
                    </a:xfrm>
                    <a:prstGeom prst="rect">
                      <a:avLst/>
                    </a:prstGeom>
                  </pic:spPr>
                </pic:pic>
              </a:graphicData>
            </a:graphic>
          </wp:inline>
        </w:drawing>
      </w:r>
    </w:p>
    <w:p w:rsidR="00471F07" w:rsidRDefault="00471F07" w:rsidP="00471F07">
      <w:pPr>
        <w:pStyle w:val="Heading2"/>
      </w:pPr>
      <w:r>
        <w:t>Step 7. “Save As” the report.</w:t>
      </w:r>
    </w:p>
    <w:p w:rsidR="00471F07" w:rsidRPr="00471F07" w:rsidRDefault="00471F07" w:rsidP="00471F07">
      <w:r w:rsidRPr="00471F07">
        <w:t xml:space="preserve">An Excel file will open that looks exactly like the report you ran. Click on “Save As” and give the file a new name that you will recognize – for example, “HPOG RoundTable PAGES Report 1 – Cases.” </w:t>
      </w:r>
      <w:r w:rsidRPr="00471F07">
        <w:rPr>
          <w:b/>
          <w:bCs/>
        </w:rPr>
        <w:t xml:space="preserve">Please ensure that you </w:t>
      </w:r>
      <w:r>
        <w:rPr>
          <w:b/>
          <w:bCs/>
        </w:rPr>
        <w:t xml:space="preserve">save these files on the laptop </w:t>
      </w:r>
      <w:r w:rsidRPr="00471F07">
        <w:rPr>
          <w:b/>
          <w:bCs/>
        </w:rPr>
        <w:t>you will be brining or on a USB storage device that you will have access to during the session. You will be working with these files at the RoundTable.</w:t>
      </w:r>
    </w:p>
    <w:p w:rsidR="00471F07" w:rsidRDefault="00471F07" w:rsidP="00471F07">
      <w:pPr>
        <w:jc w:val="center"/>
      </w:pPr>
      <w:r w:rsidRPr="00471F07">
        <w:rPr>
          <w:noProof/>
        </w:rPr>
        <w:drawing>
          <wp:inline distT="0" distB="0" distL="0" distR="0" wp14:anchorId="28143FD2" wp14:editId="7E1DEC73">
            <wp:extent cx="5162550" cy="1669555"/>
            <wp:effectExtent l="0" t="0" r="0" b="698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a:stretch>
                      <a:fillRect/>
                    </a:stretch>
                  </pic:blipFill>
                  <pic:spPr>
                    <a:xfrm>
                      <a:off x="0" y="0"/>
                      <a:ext cx="5179119" cy="1674913"/>
                    </a:xfrm>
                    <a:prstGeom prst="rect">
                      <a:avLst/>
                    </a:prstGeom>
                  </pic:spPr>
                </pic:pic>
              </a:graphicData>
            </a:graphic>
          </wp:inline>
        </w:drawing>
      </w:r>
    </w:p>
    <w:p w:rsidR="00471F07" w:rsidRPr="00471F07" w:rsidRDefault="00471F07" w:rsidP="00471F07">
      <w:pPr>
        <w:jc w:val="center"/>
      </w:pPr>
    </w:p>
    <w:p w:rsidR="00516922" w:rsidRDefault="00471F07" w:rsidP="00471F07">
      <w:pPr>
        <w:pStyle w:val="Heading2"/>
      </w:pPr>
      <w:r>
        <w:t>Step 8. Repeat steps 1-7 for all three reports, which can be found by setting “Look For” (Step 2) to the following and finding the reports titles under “My Views”:</w:t>
      </w:r>
    </w:p>
    <w:tbl>
      <w:tblPr>
        <w:tblStyle w:val="TableGrid"/>
        <w:tblW w:w="0" w:type="auto"/>
        <w:tblLook w:val="04A0" w:firstRow="1" w:lastRow="0" w:firstColumn="1" w:lastColumn="0" w:noHBand="0" w:noVBand="1"/>
      </w:tblPr>
      <w:tblGrid>
        <w:gridCol w:w="1548"/>
        <w:gridCol w:w="2520"/>
        <w:gridCol w:w="5508"/>
      </w:tblGrid>
      <w:tr w:rsidR="00471F07" w:rsidTr="00471F07">
        <w:tc>
          <w:tcPr>
            <w:tcW w:w="1548" w:type="dxa"/>
            <w:shd w:val="clear" w:color="auto" w:fill="D9D9D9" w:themeFill="background1" w:themeFillShade="D9"/>
          </w:tcPr>
          <w:p w:rsidR="00471F07" w:rsidRPr="00471F07" w:rsidRDefault="00471F07" w:rsidP="00471F07">
            <w:pPr>
              <w:rPr>
                <w:b/>
              </w:rPr>
            </w:pPr>
            <w:r w:rsidRPr="00471F07">
              <w:rPr>
                <w:b/>
              </w:rPr>
              <w:t>Report Number</w:t>
            </w:r>
          </w:p>
        </w:tc>
        <w:tc>
          <w:tcPr>
            <w:tcW w:w="2520" w:type="dxa"/>
            <w:shd w:val="clear" w:color="auto" w:fill="D9D9D9" w:themeFill="background1" w:themeFillShade="D9"/>
          </w:tcPr>
          <w:p w:rsidR="00471F07" w:rsidRPr="00471F07" w:rsidRDefault="00471F07" w:rsidP="00471F07">
            <w:pPr>
              <w:rPr>
                <w:b/>
              </w:rPr>
            </w:pPr>
            <w:r w:rsidRPr="00471F07">
              <w:rPr>
                <w:b/>
              </w:rPr>
              <w:t>“Look For” Category</w:t>
            </w:r>
          </w:p>
        </w:tc>
        <w:tc>
          <w:tcPr>
            <w:tcW w:w="5508" w:type="dxa"/>
            <w:shd w:val="clear" w:color="auto" w:fill="D9D9D9" w:themeFill="background1" w:themeFillShade="D9"/>
          </w:tcPr>
          <w:p w:rsidR="00471F07" w:rsidRPr="00471F07" w:rsidRDefault="00471F07" w:rsidP="00471F07">
            <w:pPr>
              <w:rPr>
                <w:b/>
              </w:rPr>
            </w:pPr>
            <w:r w:rsidRPr="00471F07">
              <w:rPr>
                <w:b/>
              </w:rPr>
              <w:t>Report Title under “Use Saved View”</w:t>
            </w:r>
          </w:p>
        </w:tc>
      </w:tr>
      <w:tr w:rsidR="00471F07" w:rsidTr="00471F07">
        <w:tc>
          <w:tcPr>
            <w:tcW w:w="1548" w:type="dxa"/>
          </w:tcPr>
          <w:p w:rsidR="00471F07" w:rsidRDefault="00471F07" w:rsidP="00471F07">
            <w:r>
              <w:t>1</w:t>
            </w:r>
          </w:p>
        </w:tc>
        <w:tc>
          <w:tcPr>
            <w:tcW w:w="2520" w:type="dxa"/>
          </w:tcPr>
          <w:p w:rsidR="00471F07" w:rsidRDefault="00471F07" w:rsidP="00471F07">
            <w:r>
              <w:t>Cases</w:t>
            </w:r>
          </w:p>
        </w:tc>
        <w:tc>
          <w:tcPr>
            <w:tcW w:w="5508" w:type="dxa"/>
          </w:tcPr>
          <w:p w:rsidR="00471F07" w:rsidRDefault="00471F07" w:rsidP="00471F07">
            <w:r w:rsidRPr="00471F07">
              <w:t>HPOG RoundTable – Unemployed at Intake, Later Employed in HC</w:t>
            </w:r>
          </w:p>
        </w:tc>
      </w:tr>
      <w:tr w:rsidR="00471F07" w:rsidTr="00471F07">
        <w:tc>
          <w:tcPr>
            <w:tcW w:w="1548" w:type="dxa"/>
          </w:tcPr>
          <w:p w:rsidR="00471F07" w:rsidRDefault="00471F07" w:rsidP="00471F07">
            <w:r>
              <w:t>2</w:t>
            </w:r>
          </w:p>
        </w:tc>
        <w:tc>
          <w:tcPr>
            <w:tcW w:w="2520" w:type="dxa"/>
          </w:tcPr>
          <w:p w:rsidR="00471F07" w:rsidRDefault="00471F07" w:rsidP="00471F07">
            <w:r>
              <w:t>Employment History</w:t>
            </w:r>
          </w:p>
        </w:tc>
        <w:tc>
          <w:tcPr>
            <w:tcW w:w="5508" w:type="dxa"/>
          </w:tcPr>
          <w:p w:rsidR="00471F07" w:rsidRPr="00471F07" w:rsidRDefault="00471F07" w:rsidP="00471F07">
            <w:pPr>
              <w:tabs>
                <w:tab w:val="left" w:pos="1830"/>
              </w:tabs>
            </w:pPr>
            <w:r w:rsidRPr="00471F07">
              <w:t>HPOG RoundTable – Employments in Healthcare</w:t>
            </w:r>
          </w:p>
          <w:p w:rsidR="00471F07" w:rsidRDefault="00471F07" w:rsidP="00471F07">
            <w:pPr>
              <w:tabs>
                <w:tab w:val="left" w:pos="1830"/>
              </w:tabs>
            </w:pPr>
          </w:p>
        </w:tc>
      </w:tr>
      <w:tr w:rsidR="00471F07" w:rsidTr="00471F07">
        <w:tc>
          <w:tcPr>
            <w:tcW w:w="1548" w:type="dxa"/>
          </w:tcPr>
          <w:p w:rsidR="00471F07" w:rsidRDefault="00471F07" w:rsidP="00471F07">
            <w:r>
              <w:t>3</w:t>
            </w:r>
          </w:p>
        </w:tc>
        <w:tc>
          <w:tcPr>
            <w:tcW w:w="2520" w:type="dxa"/>
          </w:tcPr>
          <w:p w:rsidR="00471F07" w:rsidRDefault="00471F07" w:rsidP="00471F07">
            <w:r>
              <w:t>Service Details</w:t>
            </w:r>
          </w:p>
        </w:tc>
        <w:tc>
          <w:tcPr>
            <w:tcW w:w="5508" w:type="dxa"/>
          </w:tcPr>
          <w:p w:rsidR="00471F07" w:rsidRDefault="00471F07" w:rsidP="00471F07">
            <w:r w:rsidRPr="00471F07">
              <w:t>HPOG RoundTable – Health Occupation Training Data</w:t>
            </w:r>
          </w:p>
        </w:tc>
      </w:tr>
    </w:tbl>
    <w:p w:rsidR="00471F07" w:rsidRPr="00471F07" w:rsidRDefault="00471F07" w:rsidP="00471F07"/>
    <w:p w:rsidR="00516922" w:rsidRPr="00516922" w:rsidRDefault="00516922" w:rsidP="00516922"/>
    <w:sectPr w:rsidR="00516922" w:rsidRPr="00516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A4912"/>
    <w:multiLevelType w:val="hybridMultilevel"/>
    <w:tmpl w:val="FC28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46372"/>
    <w:multiLevelType w:val="hybridMultilevel"/>
    <w:tmpl w:val="9238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22"/>
    <w:rsid w:val="00471F07"/>
    <w:rsid w:val="00516922"/>
    <w:rsid w:val="00833BC2"/>
    <w:rsid w:val="00FD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9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69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92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169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9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69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6922"/>
    <w:rPr>
      <w:rFonts w:eastAsiaTheme="minorEastAsia"/>
      <w:color w:val="5A5A5A" w:themeColor="text1" w:themeTint="A5"/>
      <w:spacing w:val="15"/>
    </w:rPr>
  </w:style>
  <w:style w:type="paragraph" w:styleId="ListParagraph">
    <w:name w:val="List Paragraph"/>
    <w:basedOn w:val="Normal"/>
    <w:uiPriority w:val="34"/>
    <w:qFormat/>
    <w:rsid w:val="00516922"/>
    <w:pPr>
      <w:ind w:left="720"/>
      <w:contextualSpacing/>
    </w:pPr>
  </w:style>
  <w:style w:type="character" w:customStyle="1" w:styleId="Heading2Char">
    <w:name w:val="Heading 2 Char"/>
    <w:basedOn w:val="DefaultParagraphFont"/>
    <w:link w:val="Heading2"/>
    <w:uiPriority w:val="9"/>
    <w:rsid w:val="0051692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16922"/>
    <w:rPr>
      <w:color w:val="0000FF" w:themeColor="hyperlink"/>
      <w:u w:val="single"/>
    </w:rPr>
  </w:style>
  <w:style w:type="character" w:customStyle="1" w:styleId="Mention">
    <w:name w:val="Mention"/>
    <w:basedOn w:val="DefaultParagraphFont"/>
    <w:uiPriority w:val="99"/>
    <w:semiHidden/>
    <w:unhideWhenUsed/>
    <w:rsid w:val="00516922"/>
    <w:rPr>
      <w:color w:val="2B579A"/>
      <w:shd w:val="clear" w:color="auto" w:fill="E6E6E6"/>
    </w:rPr>
  </w:style>
  <w:style w:type="table" w:styleId="TableGrid">
    <w:name w:val="Table Grid"/>
    <w:basedOn w:val="TableNormal"/>
    <w:uiPriority w:val="59"/>
    <w:unhideWhenUsed/>
    <w:rsid w:val="00471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F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69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169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92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169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92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69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6922"/>
    <w:rPr>
      <w:rFonts w:eastAsiaTheme="minorEastAsia"/>
      <w:color w:val="5A5A5A" w:themeColor="text1" w:themeTint="A5"/>
      <w:spacing w:val="15"/>
    </w:rPr>
  </w:style>
  <w:style w:type="paragraph" w:styleId="ListParagraph">
    <w:name w:val="List Paragraph"/>
    <w:basedOn w:val="Normal"/>
    <w:uiPriority w:val="34"/>
    <w:qFormat/>
    <w:rsid w:val="00516922"/>
    <w:pPr>
      <w:ind w:left="720"/>
      <w:contextualSpacing/>
    </w:pPr>
  </w:style>
  <w:style w:type="character" w:customStyle="1" w:styleId="Heading2Char">
    <w:name w:val="Heading 2 Char"/>
    <w:basedOn w:val="DefaultParagraphFont"/>
    <w:link w:val="Heading2"/>
    <w:uiPriority w:val="9"/>
    <w:rsid w:val="0051692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516922"/>
    <w:rPr>
      <w:color w:val="0000FF" w:themeColor="hyperlink"/>
      <w:u w:val="single"/>
    </w:rPr>
  </w:style>
  <w:style w:type="character" w:customStyle="1" w:styleId="Mention">
    <w:name w:val="Mention"/>
    <w:basedOn w:val="DefaultParagraphFont"/>
    <w:uiPriority w:val="99"/>
    <w:semiHidden/>
    <w:unhideWhenUsed/>
    <w:rsid w:val="00516922"/>
    <w:rPr>
      <w:color w:val="2B579A"/>
      <w:shd w:val="clear" w:color="auto" w:fill="E6E6E6"/>
    </w:rPr>
  </w:style>
  <w:style w:type="table" w:styleId="TableGrid">
    <w:name w:val="Table Grid"/>
    <w:basedOn w:val="TableNormal"/>
    <w:uiPriority w:val="59"/>
    <w:unhideWhenUsed/>
    <w:rsid w:val="00471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F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0493">
      <w:bodyDiv w:val="1"/>
      <w:marLeft w:val="0"/>
      <w:marRight w:val="0"/>
      <w:marTop w:val="0"/>
      <w:marBottom w:val="0"/>
      <w:divBdr>
        <w:top w:val="none" w:sz="0" w:space="0" w:color="auto"/>
        <w:left w:val="none" w:sz="0" w:space="0" w:color="auto"/>
        <w:bottom w:val="none" w:sz="0" w:space="0" w:color="auto"/>
        <w:right w:val="none" w:sz="0" w:space="0" w:color="auto"/>
      </w:divBdr>
    </w:div>
    <w:div w:id="820466735">
      <w:bodyDiv w:val="1"/>
      <w:marLeft w:val="0"/>
      <w:marRight w:val="0"/>
      <w:marTop w:val="0"/>
      <w:marBottom w:val="0"/>
      <w:divBdr>
        <w:top w:val="none" w:sz="0" w:space="0" w:color="auto"/>
        <w:left w:val="none" w:sz="0" w:space="0" w:color="auto"/>
        <w:bottom w:val="none" w:sz="0" w:space="0" w:color="auto"/>
        <w:right w:val="none" w:sz="0" w:space="0" w:color="auto"/>
      </w:divBdr>
    </w:div>
    <w:div w:id="820585116">
      <w:bodyDiv w:val="1"/>
      <w:marLeft w:val="0"/>
      <w:marRight w:val="0"/>
      <w:marTop w:val="0"/>
      <w:marBottom w:val="0"/>
      <w:divBdr>
        <w:top w:val="none" w:sz="0" w:space="0" w:color="auto"/>
        <w:left w:val="none" w:sz="0" w:space="0" w:color="auto"/>
        <w:bottom w:val="none" w:sz="0" w:space="0" w:color="auto"/>
        <w:right w:val="none" w:sz="0" w:space="0" w:color="auto"/>
      </w:divBdr>
    </w:div>
    <w:div w:id="1218663176">
      <w:bodyDiv w:val="1"/>
      <w:marLeft w:val="0"/>
      <w:marRight w:val="0"/>
      <w:marTop w:val="0"/>
      <w:marBottom w:val="0"/>
      <w:divBdr>
        <w:top w:val="none" w:sz="0" w:space="0" w:color="auto"/>
        <w:left w:val="none" w:sz="0" w:space="0" w:color="auto"/>
        <w:bottom w:val="none" w:sz="0" w:space="0" w:color="auto"/>
        <w:right w:val="none" w:sz="0" w:space="0" w:color="auto"/>
      </w:divBdr>
    </w:div>
    <w:div w:id="1443379866">
      <w:bodyDiv w:val="1"/>
      <w:marLeft w:val="0"/>
      <w:marRight w:val="0"/>
      <w:marTop w:val="0"/>
      <w:marBottom w:val="0"/>
      <w:divBdr>
        <w:top w:val="none" w:sz="0" w:space="0" w:color="auto"/>
        <w:left w:val="none" w:sz="0" w:space="0" w:color="auto"/>
        <w:bottom w:val="none" w:sz="0" w:space="0" w:color="auto"/>
        <w:right w:val="none" w:sz="0" w:space="0" w:color="auto"/>
      </w:divBdr>
    </w:div>
    <w:div w:id="1498963923">
      <w:bodyDiv w:val="1"/>
      <w:marLeft w:val="0"/>
      <w:marRight w:val="0"/>
      <w:marTop w:val="0"/>
      <w:marBottom w:val="0"/>
      <w:divBdr>
        <w:top w:val="none" w:sz="0" w:space="0" w:color="auto"/>
        <w:left w:val="none" w:sz="0" w:space="0" w:color="auto"/>
        <w:bottom w:val="none" w:sz="0" w:space="0" w:color="auto"/>
        <w:right w:val="none" w:sz="0" w:space="0" w:color="auto"/>
      </w:divBdr>
    </w:div>
    <w:div w:id="1775203066">
      <w:bodyDiv w:val="1"/>
      <w:marLeft w:val="0"/>
      <w:marRight w:val="0"/>
      <w:marTop w:val="0"/>
      <w:marBottom w:val="0"/>
      <w:divBdr>
        <w:top w:val="none" w:sz="0" w:space="0" w:color="auto"/>
        <w:left w:val="none" w:sz="0" w:space="0" w:color="auto"/>
        <w:bottom w:val="none" w:sz="0" w:space="0" w:color="auto"/>
        <w:right w:val="none" w:sz="0" w:space="0" w:color="auto"/>
      </w:divBdr>
    </w:div>
    <w:div w:id="1806266186">
      <w:bodyDiv w:val="1"/>
      <w:marLeft w:val="0"/>
      <w:marRight w:val="0"/>
      <w:marTop w:val="0"/>
      <w:marBottom w:val="0"/>
      <w:divBdr>
        <w:top w:val="none" w:sz="0" w:space="0" w:color="auto"/>
        <w:left w:val="none" w:sz="0" w:space="0" w:color="auto"/>
        <w:bottom w:val="none" w:sz="0" w:space="0" w:color="auto"/>
        <w:right w:val="none" w:sz="0" w:space="0" w:color="auto"/>
      </w:divBdr>
    </w:div>
    <w:div w:id="1858352079">
      <w:bodyDiv w:val="1"/>
      <w:marLeft w:val="0"/>
      <w:marRight w:val="0"/>
      <w:marTop w:val="0"/>
      <w:marBottom w:val="0"/>
      <w:divBdr>
        <w:top w:val="none" w:sz="0" w:space="0" w:color="auto"/>
        <w:left w:val="none" w:sz="0" w:space="0" w:color="auto"/>
        <w:bottom w:val="none" w:sz="0" w:space="0" w:color="auto"/>
        <w:right w:val="none" w:sz="0" w:space="0" w:color="auto"/>
      </w:divBdr>
    </w:div>
    <w:div w:id="194815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ee.gotowebinar.com/recording/2015708665061126918"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ttendee.gotowebinar.com/recording/2015708665061126918"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mailto:PAGESSupport@urban.org"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GESSupport@urban.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Sick, Nathan</dc:creator>
  <cp:lastModifiedBy>Kailiah Thomas</cp:lastModifiedBy>
  <cp:revision>2</cp:revision>
  <dcterms:created xsi:type="dcterms:W3CDTF">2018-01-09T18:11:00Z</dcterms:created>
  <dcterms:modified xsi:type="dcterms:W3CDTF">2018-01-09T18:11:00Z</dcterms:modified>
</cp:coreProperties>
</file>